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</w:pPr>
      <w:r>
        <w:object w:dxaOrig="3444" w:dyaOrig="1227">
          <v:rect xmlns:o="urn:schemas-microsoft-com:office:office" xmlns:v="urn:schemas-microsoft-com:vml" id="rectole0000000000" style="width:172.200000pt;height:6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  <w:t xml:space="preserve">41-253 Czelad</w:t>
      </w:r>
      <w:r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  <w:t xml:space="preserve">ź ul. Żeromskiego 19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  <w:t xml:space="preserve">Tel./Fax  (32) 265 38 77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99"/>
          <w:spacing w:val="0"/>
          <w:position w:val="0"/>
          <w:sz w:val="20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pp10czeladz@wp.pl</w:t>
        </w:r>
      </w:hyperlink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PP10-0714-4-2/17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Czelad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ź, dn. 23.02.2017r.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Urz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ąd Miasta Czeladź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Wydzia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ł Zamówień Publicznych i Kontroli Wewnętrznej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dotyczy: </w:t>
      </w: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informacja o realizacji zalece</w:t>
      </w: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ń pokontrolnych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  Dyrektor Przedszkola Publicznego nr 10 im. Przyjació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ł Bajek Disneya w Czeladzi informuje, iż w związku z przeprowadzoną kontrolą w zakresie gospodarki finansowej jednostki, prawidłowości realizacji budżetu w zakresie wydatków bieżących w 2015 roku oraz realizacji zaleceń wydanych po kontroli przeprowadzonej w 2015 roku, w dniach 12.12.2016- 30.12.2016r. podjęto działania zgodne z zaleceniami Podinspektora Wydziału Zamówień Publicznych i Kontroli Wewnętrznej Urzędu Miasta Czeladź: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Projekt planu finansowego na rok 2017 zosta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ł przedłożony do zaopiniowania Radzie Pedagogicznej i Radzie Rodziców w terminie wynikającym z art. 248 ust. 2 ustawy o finansach publicznych (j.t. Dz. U z 2016 r. poz. 1870) t.j dnia 18.11.2016r.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Dokonano analizy zapisów uj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ętych w Zarządzeniu Nr 6/2016 Dyrektora PP10 z dnia 20 czerwca 2016 roku w sprawie przydziału odzieży i obuwia roboczego oraz środków ochrony indywidualnej. Ujęto stanowiska pracy wynikające z organizacji jednostki i uwzględniono wyposażenia, w które faktycznie zaopatrywani są pracownicy stosując się do Rozporządzenia Ministra Pracy i Polityki Społecznej z dnia 26.09.1997r. W sprawie ogólnych przepisów bezpieczeństwa i higieny pracy ( Dz. U z 2003 r. Nr. 169, poz. 1650).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3.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Przy przekazywaniu wyposa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żenia lub materiałów zakupionych do bezpośredniego zużycia, potwierdzany jest sposób rozdysponowania tych środków z podpisem osoby przyjmującej oraz zgodność wykonania dostawy lub usługi z określonym zamówieniem stosując się do zapisów wynikających z art.44 ust. 3 ustawy o finansach publicznych (j.t. Dz. U z 2016 r. poz.1870).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 W zakresie ewidencji zakupionego wyposa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żenia, mając na uwadze jego wartość i przewidywany okres jego użytkowania na bieżąco stosuje się zasady wynikające z Zarządzenia Dyrektora Nr 10/ 2008 z dnia 04.12.2008 r. w sprawie instrukcji gospodarki majątkiem trwałym, inwentaryzacji majątku i zasad odpowiedzialności za powierzone mienie w PP 10.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5.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Dokonano analizy zapisów w obowi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ązującej w jednostce Instrukcji obiegu dokumentów, uwzględniono kwotę minimalnej wartości usługi od której zawierane będą umowy pisemne. Powyższych zmian dokonano z godnie z postanowieniami art.68 ust. O finansach publicznych (j.t. Dz.U z 2016 r. poz. 1870).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6.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 Na bie</w:t>
      </w: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żąco analizuje się zapisy wynikające z zawartych umów w odniesieniu do harmonogramu wykonywanych prac oraz wynagrodzenia za ich wykonanie. W przypadku zmian wartości udzielonego zamówienia, wynikającego z zawartej umowy stosowane są zmiany w/w zapisów w formie aneksów.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Dyrektor PP10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Iwona Sztramko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</w:t>
      </w:r>
    </w:p>
    <w:p>
      <w:pPr>
        <w:widowControl w:val="false"/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36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4248" w:firstLine="708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p10czeladz@wp.pl" Id="docRId2" Type="http://schemas.openxmlformats.org/officeDocument/2006/relationships/hyperlink"/><Relationship Target="styles.xml" Id="docRId4" Type="http://schemas.openxmlformats.org/officeDocument/2006/relationships/styles"/></Relationships>
</file>